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754" w:rsidRDefault="00134754" w:rsidP="00134754">
      <w:pPr>
        <w:spacing w:after="0" w:line="450" w:lineRule="atLeast"/>
        <w:textAlignment w:val="baseline"/>
        <w:outlineLvl w:val="0"/>
        <w:rPr>
          <w:rFonts w:ascii="Arial" w:eastAsia="Times New Roman" w:hAnsi="Arial" w:cs="Arial"/>
          <w:caps/>
          <w:kern w:val="36"/>
          <w:sz w:val="42"/>
          <w:szCs w:val="42"/>
          <w:lang w:eastAsia="fr-FR"/>
        </w:rPr>
      </w:pPr>
      <w:r w:rsidRPr="00134754">
        <w:rPr>
          <w:rFonts w:ascii="Arial" w:eastAsia="Times New Roman" w:hAnsi="Arial" w:cs="Arial"/>
          <w:caps/>
          <w:kern w:val="36"/>
          <w:sz w:val="42"/>
          <w:szCs w:val="42"/>
          <w:lang w:eastAsia="fr-FR"/>
        </w:rPr>
        <w:t>La révision du loyer</w:t>
      </w:r>
    </w:p>
    <w:p w:rsidR="009A7866" w:rsidRDefault="009A7866" w:rsidP="00134754">
      <w:pPr>
        <w:spacing w:after="0" w:line="450" w:lineRule="atLeast"/>
        <w:textAlignment w:val="baseline"/>
        <w:outlineLvl w:val="0"/>
        <w:rPr>
          <w:rFonts w:ascii="Arial" w:eastAsia="Times New Roman" w:hAnsi="Arial" w:cs="Arial"/>
          <w:caps/>
          <w:kern w:val="36"/>
          <w:sz w:val="42"/>
          <w:szCs w:val="42"/>
          <w:lang w:eastAsia="fr-FR"/>
        </w:rPr>
      </w:pPr>
      <w:r>
        <w:rPr>
          <w:noProof/>
        </w:rPr>
        <w:drawing>
          <wp:inline distT="0" distB="0" distL="0" distR="0" wp14:anchorId="19B29D4C" wp14:editId="7C912F6C">
            <wp:extent cx="3322320" cy="2214880"/>
            <wp:effectExtent l="0" t="0" r="0" b="0"/>
            <wp:docPr id="1" name="Image 1" descr="Résultats de recherche d'images pour « images libres de droit correspondant à location immobiliè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images libres de droit correspondant à location immobilièr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2320" cy="2214880"/>
                    </a:xfrm>
                    <a:prstGeom prst="rect">
                      <a:avLst/>
                    </a:prstGeom>
                    <a:noFill/>
                    <a:ln>
                      <a:noFill/>
                    </a:ln>
                  </pic:spPr>
                </pic:pic>
              </a:graphicData>
            </a:graphic>
          </wp:inline>
        </w:drawing>
      </w:r>
    </w:p>
    <w:p w:rsidR="009A7866" w:rsidRDefault="009A7866" w:rsidP="00134754">
      <w:pPr>
        <w:spacing w:after="0" w:line="450" w:lineRule="atLeast"/>
        <w:textAlignment w:val="baseline"/>
        <w:outlineLvl w:val="0"/>
        <w:rPr>
          <w:rFonts w:ascii="Arial" w:eastAsia="Times New Roman" w:hAnsi="Arial" w:cs="Arial"/>
          <w:caps/>
          <w:kern w:val="36"/>
          <w:sz w:val="42"/>
          <w:szCs w:val="42"/>
          <w:lang w:eastAsia="fr-FR"/>
        </w:rPr>
      </w:pPr>
    </w:p>
    <w:p w:rsidR="00134754" w:rsidRPr="00134754" w:rsidRDefault="00134754" w:rsidP="009A7866">
      <w:pPr>
        <w:spacing w:after="0" w:line="300" w:lineRule="atLeast"/>
        <w:textAlignment w:val="baseline"/>
        <w:rPr>
          <w:rFonts w:ascii="Times New Roman" w:eastAsia="Times New Roman" w:hAnsi="Times New Roman" w:cs="Times New Roman"/>
          <w:sz w:val="18"/>
          <w:szCs w:val="18"/>
          <w:lang w:eastAsia="fr-FR"/>
        </w:rPr>
      </w:pPr>
      <w:bookmarkStart w:id="0" w:name="_GoBack"/>
      <w:bookmarkEnd w:id="0"/>
      <w:r w:rsidRPr="00134754">
        <w:rPr>
          <w:rFonts w:ascii="Times New Roman" w:eastAsia="Times New Roman" w:hAnsi="Times New Roman" w:cs="Times New Roman"/>
          <w:sz w:val="18"/>
          <w:szCs w:val="18"/>
          <w:lang w:eastAsia="fr-FR"/>
        </w:rPr>
        <w:t>Les règles de révision du loyer sont fixées par arrêté du Conseil des ministres.</w:t>
      </w:r>
    </w:p>
    <w:p w:rsidR="00134754" w:rsidRPr="00134754" w:rsidRDefault="00134754" w:rsidP="00134754">
      <w:pPr>
        <w:spacing w:after="0" w:line="300" w:lineRule="atLeast"/>
        <w:jc w:val="both"/>
        <w:textAlignment w:val="baseline"/>
        <w:rPr>
          <w:rFonts w:ascii="Times New Roman" w:eastAsia="Times New Roman" w:hAnsi="Times New Roman" w:cs="Times New Roman"/>
          <w:sz w:val="18"/>
          <w:szCs w:val="18"/>
          <w:lang w:eastAsia="fr-FR"/>
        </w:rPr>
      </w:pPr>
      <w:r w:rsidRPr="00134754">
        <w:rPr>
          <w:rFonts w:ascii="Times New Roman" w:eastAsia="Times New Roman" w:hAnsi="Times New Roman" w:cs="Times New Roman"/>
          <w:sz w:val="18"/>
          <w:szCs w:val="18"/>
          <w:lang w:eastAsia="fr-FR"/>
        </w:rPr>
        <w:t>La révision du loyer peut avoir lieu tous les ans, à la fin du trimestre calendaire qui suit la date anniversaire du bail.</w:t>
      </w:r>
    </w:p>
    <w:p w:rsidR="00134754" w:rsidRPr="00134754" w:rsidRDefault="00134754" w:rsidP="00134754">
      <w:pPr>
        <w:spacing w:after="0" w:line="300" w:lineRule="atLeast"/>
        <w:jc w:val="both"/>
        <w:textAlignment w:val="baseline"/>
        <w:rPr>
          <w:rFonts w:ascii="Times New Roman" w:eastAsia="Times New Roman" w:hAnsi="Times New Roman" w:cs="Times New Roman"/>
          <w:sz w:val="18"/>
          <w:szCs w:val="18"/>
          <w:lang w:eastAsia="fr-FR"/>
        </w:rPr>
      </w:pPr>
      <w:r w:rsidRPr="00134754">
        <w:rPr>
          <w:rFonts w:ascii="Times New Roman" w:eastAsia="Times New Roman" w:hAnsi="Times New Roman" w:cs="Times New Roman"/>
          <w:sz w:val="18"/>
          <w:szCs w:val="18"/>
          <w:lang w:eastAsia="fr-FR"/>
        </w:rPr>
        <w:t>L’arrêté n° 499 CM du 18 avril 2013 prévoit que le taux de révision des loyers est librement débattu entre le propriétaire et le locataire dans la limite de la variation entre l’indice mensuel des prix à la consommation relevé à la date anniversaire donnant lieu à révision et l’indice mensuel des prix à la consommation relevé à la précédente révision, ou à la signature du bail si aucune révision n’est encore intervenue. Dans le cas où cette variation est négative, le taux de révision est nul.</w:t>
      </w:r>
    </w:p>
    <w:p w:rsidR="00134754" w:rsidRPr="00134754" w:rsidRDefault="00134754" w:rsidP="00134754">
      <w:pPr>
        <w:spacing w:after="0" w:line="300" w:lineRule="atLeast"/>
        <w:jc w:val="both"/>
        <w:textAlignment w:val="baseline"/>
        <w:rPr>
          <w:rFonts w:ascii="Times New Roman" w:eastAsia="Times New Roman" w:hAnsi="Times New Roman" w:cs="Times New Roman"/>
          <w:sz w:val="18"/>
          <w:szCs w:val="18"/>
          <w:lang w:eastAsia="fr-FR"/>
        </w:rPr>
      </w:pPr>
      <w:r w:rsidRPr="00134754">
        <w:rPr>
          <w:rFonts w:ascii="Times New Roman" w:eastAsia="Times New Roman" w:hAnsi="Times New Roman" w:cs="Times New Roman"/>
          <w:sz w:val="18"/>
          <w:szCs w:val="18"/>
          <w:lang w:eastAsia="fr-FR"/>
        </w:rPr>
        <w:t>Pour connaître l’indice des prix à la consommation, consultez le site internet de l’Institut de la Statistique de Polynésie Française (ISPF) </w:t>
      </w:r>
      <w:hyperlink r:id="rId6" w:tgtFrame="_blank" w:history="1">
        <w:r w:rsidRPr="00134754">
          <w:rPr>
            <w:rFonts w:ascii="Times New Roman" w:eastAsia="Times New Roman" w:hAnsi="Times New Roman" w:cs="Times New Roman"/>
            <w:color w:val="50B848"/>
            <w:sz w:val="18"/>
            <w:szCs w:val="18"/>
            <w:u w:val="single"/>
            <w:bdr w:val="none" w:sz="0" w:space="0" w:color="auto" w:frame="1"/>
            <w:lang w:eastAsia="fr-FR"/>
          </w:rPr>
          <w:t>www.ispf.pf</w:t>
        </w:r>
      </w:hyperlink>
      <w:r w:rsidRPr="00134754">
        <w:rPr>
          <w:rFonts w:ascii="Times New Roman" w:eastAsia="Times New Roman" w:hAnsi="Times New Roman" w:cs="Times New Roman"/>
          <w:sz w:val="18"/>
          <w:szCs w:val="18"/>
          <w:lang w:eastAsia="fr-FR"/>
        </w:rPr>
        <w:t>.</w:t>
      </w:r>
    </w:p>
    <w:p w:rsidR="00134754" w:rsidRPr="00134754" w:rsidRDefault="00134754" w:rsidP="00134754">
      <w:pPr>
        <w:spacing w:after="0" w:line="315" w:lineRule="atLeast"/>
        <w:jc w:val="both"/>
        <w:textAlignment w:val="baseline"/>
        <w:outlineLvl w:val="3"/>
        <w:rPr>
          <w:rFonts w:ascii="Arial" w:eastAsia="Times New Roman" w:hAnsi="Arial" w:cs="Arial"/>
          <w:caps/>
          <w:sz w:val="21"/>
          <w:szCs w:val="21"/>
          <w:lang w:eastAsia="fr-FR"/>
        </w:rPr>
      </w:pPr>
      <w:r w:rsidRPr="00134754">
        <w:rPr>
          <w:rFonts w:ascii="Arial" w:eastAsia="Times New Roman" w:hAnsi="Arial" w:cs="Arial"/>
          <w:caps/>
          <w:sz w:val="21"/>
          <w:szCs w:val="21"/>
          <w:lang w:eastAsia="fr-FR"/>
        </w:rPr>
        <w:t>MODE DE CALCUL</w:t>
      </w:r>
    </w:p>
    <w:p w:rsidR="00134754" w:rsidRPr="00134754" w:rsidRDefault="00134754" w:rsidP="00134754">
      <w:pPr>
        <w:spacing w:after="0" w:line="300" w:lineRule="atLeast"/>
        <w:jc w:val="both"/>
        <w:textAlignment w:val="baseline"/>
        <w:rPr>
          <w:rFonts w:ascii="Times New Roman" w:eastAsia="Times New Roman" w:hAnsi="Times New Roman" w:cs="Times New Roman"/>
          <w:sz w:val="18"/>
          <w:szCs w:val="18"/>
          <w:lang w:eastAsia="fr-FR"/>
        </w:rPr>
      </w:pPr>
      <w:r w:rsidRPr="00134754">
        <w:rPr>
          <w:rFonts w:ascii="Times New Roman" w:eastAsia="Times New Roman" w:hAnsi="Times New Roman" w:cs="Times New Roman"/>
          <w:sz w:val="18"/>
          <w:szCs w:val="18"/>
          <w:lang w:eastAsia="fr-FR"/>
        </w:rPr>
        <w:t xml:space="preserve">Le taux maximal de révision (T), exprimé en pourcentage, se calcule de la façon </w:t>
      </w:r>
      <w:proofErr w:type="gramStart"/>
      <w:r w:rsidRPr="00134754">
        <w:rPr>
          <w:rFonts w:ascii="Times New Roman" w:eastAsia="Times New Roman" w:hAnsi="Times New Roman" w:cs="Times New Roman"/>
          <w:sz w:val="18"/>
          <w:szCs w:val="18"/>
          <w:lang w:eastAsia="fr-FR"/>
        </w:rPr>
        <w:t>suivante:</w:t>
      </w:r>
      <w:proofErr w:type="gramEnd"/>
    </w:p>
    <w:p w:rsidR="00134754" w:rsidRPr="00134754" w:rsidRDefault="00134754" w:rsidP="00134754">
      <w:pPr>
        <w:spacing w:after="0" w:line="300" w:lineRule="atLeast"/>
        <w:jc w:val="both"/>
        <w:textAlignment w:val="baseline"/>
        <w:rPr>
          <w:rFonts w:ascii="Times New Roman" w:eastAsia="Times New Roman" w:hAnsi="Times New Roman" w:cs="Times New Roman"/>
          <w:sz w:val="18"/>
          <w:szCs w:val="18"/>
          <w:lang w:eastAsia="fr-FR"/>
        </w:rPr>
      </w:pPr>
      <w:r w:rsidRPr="00134754">
        <w:rPr>
          <w:rFonts w:ascii="Times New Roman" w:eastAsia="Times New Roman" w:hAnsi="Times New Roman" w:cs="Times New Roman"/>
          <w:noProof/>
          <w:color w:val="50B848"/>
          <w:sz w:val="18"/>
          <w:szCs w:val="18"/>
          <w:bdr w:val="none" w:sz="0" w:space="0" w:color="auto" w:frame="1"/>
          <w:lang w:eastAsia="fr-FR"/>
        </w:rPr>
        <w:drawing>
          <wp:inline distT="0" distB="0" distL="0" distR="0" wp14:anchorId="0FC8993D" wp14:editId="37E44898">
            <wp:extent cx="2575560" cy="617220"/>
            <wp:effectExtent l="0" t="0" r="0" b="0"/>
            <wp:docPr id="2" name="Image 2" descr="mode de calcu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 de calcul">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5560" cy="617220"/>
                    </a:xfrm>
                    <a:prstGeom prst="rect">
                      <a:avLst/>
                    </a:prstGeom>
                    <a:noFill/>
                    <a:ln>
                      <a:noFill/>
                    </a:ln>
                  </pic:spPr>
                </pic:pic>
              </a:graphicData>
            </a:graphic>
          </wp:inline>
        </w:drawing>
      </w:r>
    </w:p>
    <w:p w:rsidR="00134754" w:rsidRPr="00134754" w:rsidRDefault="00134754" w:rsidP="00134754">
      <w:pPr>
        <w:spacing w:after="0" w:line="300" w:lineRule="atLeast"/>
        <w:jc w:val="both"/>
        <w:textAlignment w:val="baseline"/>
        <w:rPr>
          <w:rFonts w:ascii="Times New Roman" w:eastAsia="Times New Roman" w:hAnsi="Times New Roman" w:cs="Times New Roman"/>
          <w:sz w:val="18"/>
          <w:szCs w:val="18"/>
          <w:lang w:eastAsia="fr-FR"/>
        </w:rPr>
      </w:pPr>
      <w:r w:rsidRPr="00134754">
        <w:rPr>
          <w:rFonts w:ascii="Times New Roman" w:eastAsia="Times New Roman" w:hAnsi="Times New Roman" w:cs="Times New Roman"/>
          <w:sz w:val="18"/>
          <w:szCs w:val="18"/>
          <w:lang w:eastAsia="fr-FR"/>
        </w:rPr>
        <w:t> </w:t>
      </w:r>
    </w:p>
    <w:p w:rsidR="00134754" w:rsidRPr="00134754" w:rsidRDefault="00134754" w:rsidP="00134754">
      <w:pPr>
        <w:spacing w:after="0" w:line="300" w:lineRule="atLeast"/>
        <w:jc w:val="both"/>
        <w:textAlignment w:val="baseline"/>
        <w:rPr>
          <w:rFonts w:ascii="Times New Roman" w:eastAsia="Times New Roman" w:hAnsi="Times New Roman" w:cs="Times New Roman"/>
          <w:sz w:val="18"/>
          <w:szCs w:val="18"/>
          <w:lang w:eastAsia="fr-FR"/>
        </w:rPr>
      </w:pPr>
      <w:r w:rsidRPr="00134754">
        <w:rPr>
          <w:rFonts w:ascii="Times New Roman" w:eastAsia="Times New Roman" w:hAnsi="Times New Roman" w:cs="Times New Roman"/>
          <w:sz w:val="18"/>
          <w:szCs w:val="18"/>
          <w:lang w:eastAsia="fr-FR"/>
        </w:rPr>
        <w:t> </w:t>
      </w:r>
    </w:p>
    <w:p w:rsidR="00134754" w:rsidRPr="00134754" w:rsidRDefault="00134754" w:rsidP="00134754">
      <w:pPr>
        <w:spacing w:after="0" w:line="300" w:lineRule="atLeast"/>
        <w:jc w:val="both"/>
        <w:textAlignment w:val="baseline"/>
        <w:rPr>
          <w:rFonts w:ascii="Times New Roman" w:eastAsia="Times New Roman" w:hAnsi="Times New Roman" w:cs="Times New Roman"/>
          <w:sz w:val="18"/>
          <w:szCs w:val="18"/>
          <w:lang w:eastAsia="fr-FR"/>
        </w:rPr>
      </w:pPr>
      <w:r w:rsidRPr="00134754">
        <w:rPr>
          <w:rFonts w:ascii="Times New Roman" w:eastAsia="Times New Roman" w:hAnsi="Times New Roman" w:cs="Times New Roman"/>
          <w:sz w:val="18"/>
          <w:szCs w:val="18"/>
          <w:lang w:eastAsia="fr-FR"/>
        </w:rPr>
        <w:t>B</w:t>
      </w:r>
      <w:r w:rsidRPr="00134754">
        <w:rPr>
          <w:rFonts w:ascii="Times New Roman" w:eastAsia="Times New Roman" w:hAnsi="Times New Roman" w:cs="Times New Roman"/>
          <w:sz w:val="18"/>
          <w:szCs w:val="18"/>
          <w:bdr w:val="none" w:sz="0" w:space="0" w:color="auto" w:frame="1"/>
          <w:lang w:eastAsia="fr-FR"/>
        </w:rPr>
        <w:t> </w:t>
      </w:r>
      <w:r w:rsidRPr="00134754">
        <w:rPr>
          <w:rFonts w:ascii="Times New Roman" w:eastAsia="Times New Roman" w:hAnsi="Times New Roman" w:cs="Times New Roman"/>
          <w:sz w:val="18"/>
          <w:szCs w:val="18"/>
          <w:lang w:eastAsia="fr-FR"/>
        </w:rPr>
        <w:t>: </w:t>
      </w:r>
      <w:r w:rsidRPr="00134754">
        <w:rPr>
          <w:rFonts w:ascii="Times New Roman" w:eastAsia="Times New Roman" w:hAnsi="Times New Roman" w:cs="Times New Roman"/>
          <w:sz w:val="18"/>
          <w:szCs w:val="18"/>
          <w:bdr w:val="none" w:sz="0" w:space="0" w:color="auto" w:frame="1"/>
          <w:lang w:eastAsia="fr-FR"/>
        </w:rPr>
        <w:t>dernier indice publié à la date anniversaire donnant lieu à la révision</w:t>
      </w:r>
    </w:p>
    <w:p w:rsidR="00134754" w:rsidRPr="00134754" w:rsidRDefault="00134754" w:rsidP="00134754">
      <w:pPr>
        <w:spacing w:after="0" w:line="300" w:lineRule="atLeast"/>
        <w:jc w:val="both"/>
        <w:textAlignment w:val="baseline"/>
        <w:rPr>
          <w:rFonts w:ascii="Times New Roman" w:eastAsia="Times New Roman" w:hAnsi="Times New Roman" w:cs="Times New Roman"/>
          <w:sz w:val="18"/>
          <w:szCs w:val="18"/>
          <w:lang w:eastAsia="fr-FR"/>
        </w:rPr>
      </w:pPr>
      <w:r w:rsidRPr="00134754">
        <w:rPr>
          <w:rFonts w:ascii="Times New Roman" w:eastAsia="Times New Roman" w:hAnsi="Times New Roman" w:cs="Times New Roman"/>
          <w:sz w:val="18"/>
          <w:szCs w:val="18"/>
          <w:lang w:eastAsia="fr-FR"/>
        </w:rPr>
        <w:t>A : </w:t>
      </w:r>
      <w:r w:rsidRPr="00134754">
        <w:rPr>
          <w:rFonts w:ascii="Times New Roman" w:eastAsia="Times New Roman" w:hAnsi="Times New Roman" w:cs="Times New Roman"/>
          <w:sz w:val="18"/>
          <w:szCs w:val="18"/>
          <w:bdr w:val="none" w:sz="0" w:space="0" w:color="auto" w:frame="1"/>
          <w:lang w:eastAsia="fr-FR"/>
        </w:rPr>
        <w:t>indice publié à la signature du bail ou à la révision précédente</w:t>
      </w:r>
    </w:p>
    <w:p w:rsidR="00134754" w:rsidRPr="00134754" w:rsidRDefault="00134754" w:rsidP="00134754">
      <w:pPr>
        <w:spacing w:after="0" w:line="315" w:lineRule="atLeast"/>
        <w:jc w:val="both"/>
        <w:textAlignment w:val="baseline"/>
        <w:outlineLvl w:val="3"/>
        <w:rPr>
          <w:rFonts w:ascii="Arial" w:eastAsia="Times New Roman" w:hAnsi="Arial" w:cs="Arial"/>
          <w:caps/>
          <w:sz w:val="21"/>
          <w:szCs w:val="21"/>
          <w:lang w:eastAsia="fr-FR"/>
        </w:rPr>
      </w:pPr>
      <w:r w:rsidRPr="00134754">
        <w:rPr>
          <w:rFonts w:ascii="Arial" w:eastAsia="Times New Roman" w:hAnsi="Arial" w:cs="Arial"/>
          <w:caps/>
          <w:sz w:val="21"/>
          <w:szCs w:val="21"/>
          <w:lang w:eastAsia="fr-FR"/>
        </w:rPr>
        <w:t>EXEMPLE</w:t>
      </w:r>
    </w:p>
    <w:p w:rsidR="00134754" w:rsidRPr="00134754" w:rsidRDefault="00134754" w:rsidP="00134754">
      <w:pPr>
        <w:spacing w:after="0" w:line="300" w:lineRule="atLeast"/>
        <w:jc w:val="both"/>
        <w:textAlignment w:val="baseline"/>
        <w:rPr>
          <w:rFonts w:ascii="Times New Roman" w:eastAsia="Times New Roman" w:hAnsi="Times New Roman" w:cs="Times New Roman"/>
          <w:sz w:val="18"/>
          <w:szCs w:val="18"/>
          <w:lang w:eastAsia="fr-FR"/>
        </w:rPr>
      </w:pPr>
      <w:r w:rsidRPr="00134754">
        <w:rPr>
          <w:rFonts w:ascii="Times New Roman" w:eastAsia="Times New Roman" w:hAnsi="Times New Roman" w:cs="Times New Roman"/>
          <w:sz w:val="18"/>
          <w:szCs w:val="18"/>
          <w:lang w:eastAsia="fr-FR"/>
        </w:rPr>
        <w:t xml:space="preserve">Dans le cas où un contrat de location est signé en février 2013 avec un loyer de 100 000 </w:t>
      </w:r>
      <w:proofErr w:type="spellStart"/>
      <w:r w:rsidRPr="00134754">
        <w:rPr>
          <w:rFonts w:ascii="Times New Roman" w:eastAsia="Times New Roman" w:hAnsi="Times New Roman" w:cs="Times New Roman"/>
          <w:sz w:val="18"/>
          <w:szCs w:val="18"/>
          <w:lang w:eastAsia="fr-FR"/>
        </w:rPr>
        <w:t>Fcfp</w:t>
      </w:r>
      <w:proofErr w:type="spellEnd"/>
      <w:r w:rsidRPr="00134754">
        <w:rPr>
          <w:rFonts w:ascii="Times New Roman" w:eastAsia="Times New Roman" w:hAnsi="Times New Roman" w:cs="Times New Roman"/>
          <w:sz w:val="18"/>
          <w:szCs w:val="18"/>
          <w:lang w:eastAsia="fr-FR"/>
        </w:rPr>
        <w:t>.</w:t>
      </w:r>
    </w:p>
    <w:p w:rsidR="00134754" w:rsidRPr="00134754" w:rsidRDefault="00134754" w:rsidP="00134754">
      <w:pPr>
        <w:spacing w:after="0" w:line="300" w:lineRule="atLeast"/>
        <w:jc w:val="both"/>
        <w:textAlignment w:val="baseline"/>
        <w:rPr>
          <w:rFonts w:ascii="Times New Roman" w:eastAsia="Times New Roman" w:hAnsi="Times New Roman" w:cs="Times New Roman"/>
          <w:sz w:val="18"/>
          <w:szCs w:val="18"/>
          <w:lang w:eastAsia="fr-FR"/>
        </w:rPr>
      </w:pPr>
      <w:r w:rsidRPr="00134754">
        <w:rPr>
          <w:rFonts w:ascii="Times New Roman" w:eastAsia="Times New Roman" w:hAnsi="Times New Roman" w:cs="Times New Roman"/>
          <w:sz w:val="18"/>
          <w:szCs w:val="18"/>
          <w:lang w:eastAsia="fr-FR"/>
        </w:rPr>
        <w:t>Indice du prix à la consommation</w:t>
      </w:r>
    </w:p>
    <w:p w:rsidR="00134754" w:rsidRPr="00134754" w:rsidRDefault="00134754" w:rsidP="00134754">
      <w:pPr>
        <w:numPr>
          <w:ilvl w:val="0"/>
          <w:numId w:val="1"/>
        </w:numPr>
        <w:spacing w:after="0" w:line="240" w:lineRule="auto"/>
        <w:ind w:left="600"/>
        <w:jc w:val="both"/>
        <w:textAlignment w:val="baseline"/>
        <w:rPr>
          <w:rFonts w:ascii="Times New Roman" w:eastAsia="Times New Roman" w:hAnsi="Times New Roman" w:cs="Times New Roman"/>
          <w:sz w:val="18"/>
          <w:szCs w:val="18"/>
          <w:lang w:eastAsia="fr-FR"/>
        </w:rPr>
      </w:pPr>
      <w:proofErr w:type="gramStart"/>
      <w:r w:rsidRPr="00134754">
        <w:rPr>
          <w:rFonts w:ascii="Times New Roman" w:eastAsia="Times New Roman" w:hAnsi="Times New Roman" w:cs="Times New Roman"/>
          <w:sz w:val="18"/>
          <w:szCs w:val="18"/>
          <w:lang w:eastAsia="fr-FR"/>
        </w:rPr>
        <w:t>en</w:t>
      </w:r>
      <w:proofErr w:type="gramEnd"/>
      <w:r w:rsidRPr="00134754">
        <w:rPr>
          <w:rFonts w:ascii="Times New Roman" w:eastAsia="Times New Roman" w:hAnsi="Times New Roman" w:cs="Times New Roman"/>
          <w:sz w:val="18"/>
          <w:szCs w:val="18"/>
          <w:lang w:eastAsia="fr-FR"/>
        </w:rPr>
        <w:t xml:space="preserve"> février 2013 : 107,64</w:t>
      </w:r>
    </w:p>
    <w:p w:rsidR="00134754" w:rsidRPr="00134754" w:rsidRDefault="00134754" w:rsidP="00134754">
      <w:pPr>
        <w:numPr>
          <w:ilvl w:val="0"/>
          <w:numId w:val="1"/>
        </w:numPr>
        <w:spacing w:after="0" w:line="240" w:lineRule="auto"/>
        <w:ind w:left="600"/>
        <w:jc w:val="both"/>
        <w:textAlignment w:val="baseline"/>
        <w:rPr>
          <w:rFonts w:ascii="Times New Roman" w:eastAsia="Times New Roman" w:hAnsi="Times New Roman" w:cs="Times New Roman"/>
          <w:sz w:val="18"/>
          <w:szCs w:val="18"/>
          <w:lang w:eastAsia="fr-FR"/>
        </w:rPr>
      </w:pPr>
      <w:proofErr w:type="gramStart"/>
      <w:r w:rsidRPr="00134754">
        <w:rPr>
          <w:rFonts w:ascii="Times New Roman" w:eastAsia="Times New Roman" w:hAnsi="Times New Roman" w:cs="Times New Roman"/>
          <w:sz w:val="18"/>
          <w:szCs w:val="18"/>
          <w:lang w:eastAsia="fr-FR"/>
        </w:rPr>
        <w:t>en</w:t>
      </w:r>
      <w:proofErr w:type="gramEnd"/>
      <w:r w:rsidRPr="00134754">
        <w:rPr>
          <w:rFonts w:ascii="Times New Roman" w:eastAsia="Times New Roman" w:hAnsi="Times New Roman" w:cs="Times New Roman"/>
          <w:sz w:val="18"/>
          <w:szCs w:val="18"/>
          <w:lang w:eastAsia="fr-FR"/>
        </w:rPr>
        <w:t xml:space="preserve"> février 2014 : 108,09</w:t>
      </w:r>
    </w:p>
    <w:p w:rsidR="00134754" w:rsidRPr="00134754" w:rsidRDefault="00134754" w:rsidP="00134754">
      <w:pPr>
        <w:spacing w:after="0" w:line="300" w:lineRule="atLeast"/>
        <w:jc w:val="both"/>
        <w:textAlignment w:val="baseline"/>
        <w:rPr>
          <w:rFonts w:ascii="Times New Roman" w:eastAsia="Times New Roman" w:hAnsi="Times New Roman" w:cs="Times New Roman"/>
          <w:sz w:val="18"/>
          <w:szCs w:val="18"/>
          <w:lang w:eastAsia="fr-FR"/>
        </w:rPr>
      </w:pPr>
      <w:r w:rsidRPr="00134754">
        <w:rPr>
          <w:rFonts w:ascii="Times New Roman" w:eastAsia="Times New Roman" w:hAnsi="Times New Roman" w:cs="Times New Roman"/>
          <w:sz w:val="18"/>
          <w:szCs w:val="18"/>
          <w:lang w:eastAsia="fr-FR"/>
        </w:rPr>
        <w:t>Soit : ((108,09-107,</w:t>
      </w:r>
      <w:proofErr w:type="gramStart"/>
      <w:r w:rsidRPr="00134754">
        <w:rPr>
          <w:rFonts w:ascii="Times New Roman" w:eastAsia="Times New Roman" w:hAnsi="Times New Roman" w:cs="Times New Roman"/>
          <w:sz w:val="18"/>
          <w:szCs w:val="18"/>
          <w:lang w:eastAsia="fr-FR"/>
        </w:rPr>
        <w:t>64)/</w:t>
      </w:r>
      <w:proofErr w:type="gramEnd"/>
      <w:r w:rsidRPr="00134754">
        <w:rPr>
          <w:rFonts w:ascii="Times New Roman" w:eastAsia="Times New Roman" w:hAnsi="Times New Roman" w:cs="Times New Roman"/>
          <w:sz w:val="18"/>
          <w:szCs w:val="18"/>
          <w:lang w:eastAsia="fr-FR"/>
        </w:rPr>
        <w:t>107,64) x 100 = 0,418%</w:t>
      </w:r>
    </w:p>
    <w:p w:rsidR="00134754" w:rsidRPr="00134754" w:rsidRDefault="00134754" w:rsidP="00134754">
      <w:pPr>
        <w:spacing w:after="0" w:line="300" w:lineRule="atLeast"/>
        <w:jc w:val="both"/>
        <w:textAlignment w:val="baseline"/>
        <w:rPr>
          <w:rFonts w:ascii="Times New Roman" w:eastAsia="Times New Roman" w:hAnsi="Times New Roman" w:cs="Times New Roman"/>
          <w:sz w:val="18"/>
          <w:szCs w:val="18"/>
          <w:lang w:eastAsia="fr-FR"/>
        </w:rPr>
      </w:pPr>
      <w:r w:rsidRPr="00134754">
        <w:rPr>
          <w:rFonts w:ascii="Times New Roman" w:eastAsia="Times New Roman" w:hAnsi="Times New Roman" w:cs="Times New Roman"/>
          <w:sz w:val="18"/>
          <w:szCs w:val="18"/>
          <w:lang w:eastAsia="fr-FR"/>
        </w:rPr>
        <w:t xml:space="preserve">100 000 + (100 000 x 0,418%) = 100 418 </w:t>
      </w:r>
      <w:proofErr w:type="spellStart"/>
      <w:r w:rsidRPr="00134754">
        <w:rPr>
          <w:rFonts w:ascii="Times New Roman" w:eastAsia="Times New Roman" w:hAnsi="Times New Roman" w:cs="Times New Roman"/>
          <w:sz w:val="18"/>
          <w:szCs w:val="18"/>
          <w:lang w:eastAsia="fr-FR"/>
        </w:rPr>
        <w:t>Fcfp</w:t>
      </w:r>
      <w:proofErr w:type="spellEnd"/>
    </w:p>
    <w:p w:rsidR="00134754" w:rsidRPr="00134754" w:rsidRDefault="00134754" w:rsidP="00134754">
      <w:pPr>
        <w:spacing w:after="0" w:line="300" w:lineRule="atLeast"/>
        <w:jc w:val="both"/>
        <w:textAlignment w:val="baseline"/>
        <w:rPr>
          <w:rFonts w:ascii="Times New Roman" w:eastAsia="Times New Roman" w:hAnsi="Times New Roman" w:cs="Times New Roman"/>
          <w:sz w:val="18"/>
          <w:szCs w:val="18"/>
          <w:lang w:eastAsia="fr-FR"/>
        </w:rPr>
      </w:pPr>
      <w:r w:rsidRPr="00134754">
        <w:rPr>
          <w:rFonts w:ascii="Times New Roman" w:eastAsia="Times New Roman" w:hAnsi="Times New Roman" w:cs="Times New Roman"/>
          <w:sz w:val="18"/>
          <w:szCs w:val="18"/>
          <w:lang w:eastAsia="fr-FR"/>
        </w:rPr>
        <w:t xml:space="preserve">Donc en 2014, le propriétaire pourra augmenter le loyer et passer de 100 000 </w:t>
      </w:r>
      <w:proofErr w:type="spellStart"/>
      <w:r w:rsidRPr="00134754">
        <w:rPr>
          <w:rFonts w:ascii="Times New Roman" w:eastAsia="Times New Roman" w:hAnsi="Times New Roman" w:cs="Times New Roman"/>
          <w:sz w:val="18"/>
          <w:szCs w:val="18"/>
          <w:lang w:eastAsia="fr-FR"/>
        </w:rPr>
        <w:t>Fcfp</w:t>
      </w:r>
      <w:proofErr w:type="spellEnd"/>
      <w:r w:rsidRPr="00134754">
        <w:rPr>
          <w:rFonts w:ascii="Times New Roman" w:eastAsia="Times New Roman" w:hAnsi="Times New Roman" w:cs="Times New Roman"/>
          <w:sz w:val="18"/>
          <w:szCs w:val="18"/>
          <w:lang w:eastAsia="fr-FR"/>
        </w:rPr>
        <w:t xml:space="preserve"> à 100 418 </w:t>
      </w:r>
      <w:proofErr w:type="spellStart"/>
      <w:r w:rsidRPr="00134754">
        <w:rPr>
          <w:rFonts w:ascii="Times New Roman" w:eastAsia="Times New Roman" w:hAnsi="Times New Roman" w:cs="Times New Roman"/>
          <w:sz w:val="18"/>
          <w:szCs w:val="18"/>
          <w:lang w:eastAsia="fr-FR"/>
        </w:rPr>
        <w:t>Fcfp</w:t>
      </w:r>
      <w:proofErr w:type="spellEnd"/>
    </w:p>
    <w:p w:rsidR="00134754" w:rsidRPr="00134754" w:rsidRDefault="00134754" w:rsidP="00134754">
      <w:pPr>
        <w:spacing w:after="0" w:line="300" w:lineRule="atLeast"/>
        <w:jc w:val="both"/>
        <w:textAlignment w:val="baseline"/>
        <w:rPr>
          <w:rFonts w:ascii="Times New Roman" w:eastAsia="Times New Roman" w:hAnsi="Times New Roman" w:cs="Times New Roman"/>
          <w:sz w:val="18"/>
          <w:szCs w:val="18"/>
          <w:lang w:eastAsia="fr-FR"/>
        </w:rPr>
      </w:pPr>
      <w:r w:rsidRPr="00134754">
        <w:rPr>
          <w:rFonts w:ascii="Times New Roman" w:eastAsia="Times New Roman" w:hAnsi="Times New Roman" w:cs="Times New Roman"/>
          <w:sz w:val="18"/>
          <w:szCs w:val="18"/>
          <w:lang w:eastAsia="fr-FR"/>
        </w:rPr>
        <w:t>Et en prenant en compte l’arrêté n°1462 CM du 31/12/1992, ce nouveau loyer ne sera appliqué “qu’à la fin du trimestre calendaire”, soit à partir du 01 avril 2014.</w:t>
      </w:r>
    </w:p>
    <w:p w:rsidR="00134754" w:rsidRPr="00134754" w:rsidRDefault="00134754" w:rsidP="00134754">
      <w:pPr>
        <w:spacing w:after="0" w:line="345" w:lineRule="atLeast"/>
        <w:jc w:val="both"/>
        <w:textAlignment w:val="baseline"/>
        <w:outlineLvl w:val="2"/>
        <w:rPr>
          <w:rFonts w:ascii="Arial" w:eastAsia="Times New Roman" w:hAnsi="Arial" w:cs="Arial"/>
          <w:caps/>
          <w:color w:val="000000"/>
          <w:sz w:val="24"/>
          <w:szCs w:val="24"/>
          <w:lang w:eastAsia="fr-FR"/>
        </w:rPr>
      </w:pPr>
      <w:r w:rsidRPr="00134754">
        <w:rPr>
          <w:rFonts w:ascii="Arial" w:eastAsia="Times New Roman" w:hAnsi="Arial" w:cs="Arial"/>
          <w:caps/>
          <w:color w:val="000000"/>
          <w:sz w:val="24"/>
          <w:szCs w:val="24"/>
          <w:lang w:eastAsia="fr-FR"/>
        </w:rPr>
        <w:t>QUAND LA RÉVISION DU LOYER PEUT-ELLE AVOIR LIEU ?</w:t>
      </w:r>
    </w:p>
    <w:p w:rsidR="00134754" w:rsidRPr="00134754" w:rsidRDefault="00134754" w:rsidP="00134754">
      <w:pPr>
        <w:spacing w:after="0" w:line="300" w:lineRule="atLeast"/>
        <w:jc w:val="both"/>
        <w:textAlignment w:val="baseline"/>
        <w:rPr>
          <w:rFonts w:ascii="Times New Roman" w:eastAsia="Times New Roman" w:hAnsi="Times New Roman" w:cs="Times New Roman"/>
          <w:sz w:val="18"/>
          <w:szCs w:val="18"/>
          <w:lang w:eastAsia="fr-FR"/>
        </w:rPr>
      </w:pPr>
      <w:r w:rsidRPr="00134754">
        <w:rPr>
          <w:rFonts w:ascii="Times New Roman" w:eastAsia="Times New Roman" w:hAnsi="Times New Roman" w:cs="Times New Roman"/>
          <w:sz w:val="18"/>
          <w:szCs w:val="18"/>
          <w:lang w:eastAsia="fr-FR"/>
        </w:rPr>
        <w:t>La révision du loyer ne peut intervenir qu’à la fin du trimestre calendaire qui suit la date d’anniversaire du bail.</w:t>
      </w:r>
    </w:p>
    <w:p w:rsidR="00134754" w:rsidRPr="00134754" w:rsidRDefault="00134754" w:rsidP="00134754">
      <w:pPr>
        <w:spacing w:after="150" w:line="300" w:lineRule="atLeast"/>
        <w:jc w:val="both"/>
        <w:textAlignment w:val="baseline"/>
        <w:rPr>
          <w:rFonts w:ascii="Times New Roman" w:eastAsia="Times New Roman" w:hAnsi="Times New Roman" w:cs="Times New Roman"/>
          <w:color w:val="AD7676"/>
          <w:sz w:val="21"/>
          <w:szCs w:val="21"/>
          <w:lang w:eastAsia="fr-FR"/>
        </w:rPr>
      </w:pPr>
      <w:r w:rsidRPr="00134754">
        <w:rPr>
          <w:rFonts w:ascii="Times New Roman" w:eastAsia="Times New Roman" w:hAnsi="Times New Roman" w:cs="Times New Roman"/>
          <w:b/>
          <w:bCs/>
          <w:color w:val="AD7676"/>
          <w:sz w:val="21"/>
          <w:szCs w:val="21"/>
          <w:bdr w:val="none" w:sz="0" w:space="0" w:color="auto" w:frame="1"/>
          <w:lang w:eastAsia="fr-FR"/>
        </w:rPr>
        <w:t>ATTENTION : </w:t>
      </w:r>
      <w:r w:rsidRPr="00134754">
        <w:rPr>
          <w:rFonts w:ascii="Times New Roman" w:eastAsia="Times New Roman" w:hAnsi="Times New Roman" w:cs="Times New Roman"/>
          <w:color w:val="AD7676"/>
          <w:sz w:val="21"/>
          <w:szCs w:val="21"/>
          <w:lang w:eastAsia="fr-FR"/>
        </w:rPr>
        <w:t>Les loyers des logements sociaux gérés par les collectivités publiques ou leurs établissements ainsi que ceux des logements intermédiaires ne sont pas soumis à ces dispositions.</w:t>
      </w:r>
    </w:p>
    <w:p w:rsidR="005C60F2" w:rsidRPr="00134754" w:rsidRDefault="00134754" w:rsidP="00134754">
      <w:pPr>
        <w:spacing w:after="0" w:line="240" w:lineRule="atLeast"/>
        <w:jc w:val="both"/>
        <w:textAlignment w:val="baseline"/>
        <w:outlineLvl w:val="0"/>
        <w:rPr>
          <w:rFonts w:ascii="Arial" w:eastAsia="Times New Roman" w:hAnsi="Arial" w:cs="Arial"/>
          <w:kern w:val="36"/>
          <w:sz w:val="30"/>
          <w:szCs w:val="30"/>
          <w:u w:val="single"/>
          <w:bdr w:val="none" w:sz="0" w:space="0" w:color="auto" w:frame="1"/>
          <w:lang w:eastAsia="fr-FR"/>
        </w:rPr>
      </w:pPr>
      <w:r w:rsidRPr="00134754">
        <w:rPr>
          <w:rFonts w:ascii="Arial" w:eastAsia="Times New Roman" w:hAnsi="Arial" w:cs="Arial"/>
          <w:kern w:val="36"/>
          <w:sz w:val="30"/>
          <w:szCs w:val="30"/>
          <w:u w:val="single"/>
          <w:bdr w:val="none" w:sz="0" w:space="0" w:color="auto" w:frame="1"/>
          <w:lang w:eastAsia="fr-FR"/>
        </w:rPr>
        <w:lastRenderedPageBreak/>
        <w:t>Source réglementaire</w:t>
      </w:r>
    </w:p>
    <w:p w:rsidR="00134754" w:rsidRDefault="00134754" w:rsidP="00134754">
      <w:pPr>
        <w:numPr>
          <w:ilvl w:val="0"/>
          <w:numId w:val="2"/>
        </w:numPr>
        <w:spacing w:after="0" w:line="240" w:lineRule="auto"/>
        <w:ind w:left="600"/>
        <w:jc w:val="both"/>
        <w:textAlignment w:val="baseline"/>
        <w:rPr>
          <w:rFonts w:ascii="Times New Roman" w:eastAsia="Times New Roman" w:hAnsi="Times New Roman" w:cs="Times New Roman"/>
          <w:sz w:val="18"/>
          <w:szCs w:val="18"/>
          <w:lang w:eastAsia="fr-FR"/>
        </w:rPr>
      </w:pPr>
      <w:hyperlink r:id="rId9" w:tgtFrame="_blank" w:history="1">
        <w:r w:rsidRPr="00134754">
          <w:rPr>
            <w:rFonts w:ascii="Times New Roman" w:eastAsia="Times New Roman" w:hAnsi="Times New Roman" w:cs="Times New Roman"/>
            <w:color w:val="50B848"/>
            <w:sz w:val="18"/>
            <w:szCs w:val="18"/>
            <w:u w:val="single"/>
            <w:bdr w:val="none" w:sz="0" w:space="0" w:color="auto" w:frame="1"/>
            <w:lang w:eastAsia="fr-FR"/>
          </w:rPr>
          <w:t>Loi du Pays n° 2012-26 du 10 décembre 2012 relatif aux baux à usage d’habitation meublée et non meublée</w:t>
        </w:r>
      </w:hyperlink>
    </w:p>
    <w:p w:rsidR="00134754" w:rsidRPr="00134754" w:rsidRDefault="00134754" w:rsidP="005C60F2">
      <w:pPr>
        <w:numPr>
          <w:ilvl w:val="0"/>
          <w:numId w:val="2"/>
        </w:numPr>
        <w:spacing w:after="0" w:line="240" w:lineRule="auto"/>
        <w:ind w:left="600"/>
        <w:jc w:val="both"/>
        <w:textAlignment w:val="baseline"/>
        <w:rPr>
          <w:rFonts w:ascii="Times New Roman" w:eastAsia="Times New Roman" w:hAnsi="Times New Roman" w:cs="Times New Roman"/>
          <w:sz w:val="18"/>
          <w:szCs w:val="18"/>
          <w:lang w:eastAsia="fr-FR"/>
        </w:rPr>
      </w:pPr>
      <w:hyperlink r:id="rId10" w:tgtFrame="_blank" w:history="1">
        <w:r w:rsidRPr="00134754">
          <w:rPr>
            <w:rFonts w:ascii="Times New Roman" w:eastAsia="Times New Roman" w:hAnsi="Times New Roman" w:cs="Times New Roman"/>
            <w:color w:val="0000FF"/>
            <w:sz w:val="18"/>
            <w:szCs w:val="18"/>
            <w:u w:val="single"/>
            <w:bdr w:val="none" w:sz="0" w:space="0" w:color="auto" w:frame="1"/>
            <w:lang w:eastAsia="fr-FR"/>
          </w:rPr>
          <w:t>Arrêté n° 1462 CM du 31 décembre 1992 relatif aux révisions des loyers des baux des locaux à usage d’habitation, professionnel, commercial, industriel ou artisanal</w:t>
        </w:r>
      </w:hyperlink>
    </w:p>
    <w:p w:rsidR="005C60F2" w:rsidRDefault="005C60F2" w:rsidP="005C60F2">
      <w:pPr>
        <w:rPr>
          <w:rFonts w:ascii="Arial" w:eastAsia="Times New Roman" w:hAnsi="Arial" w:cs="Arial"/>
          <w:caps/>
          <w:sz w:val="21"/>
          <w:szCs w:val="21"/>
          <w:lang w:eastAsia="fr-FR"/>
        </w:rPr>
      </w:pPr>
    </w:p>
    <w:p w:rsidR="005C60F2" w:rsidRDefault="005C60F2" w:rsidP="005C60F2">
      <w:r>
        <w:rPr>
          <w:rFonts w:ascii="Times New Roman" w:eastAsia="Times New Roman" w:hAnsi="Times New Roman" w:cs="Times New Roman"/>
          <w:sz w:val="18"/>
          <w:szCs w:val="18"/>
          <w:lang w:eastAsia="fr-FR"/>
        </w:rPr>
        <w:t>SOURCE DOCUMENT DGAE</w:t>
      </w:r>
      <w:r w:rsidR="00134754" w:rsidRPr="00134754">
        <w:rPr>
          <w:rFonts w:ascii="Helvetica" w:eastAsia="Times New Roman" w:hAnsi="Helvetica" w:cs="Helvetica"/>
          <w:color w:val="444444"/>
          <w:sz w:val="18"/>
          <w:szCs w:val="18"/>
          <w:lang w:eastAsia="fr-FR"/>
        </w:rPr>
        <w:fldChar w:fldCharType="begin"/>
      </w:r>
      <w:r w:rsidR="00134754" w:rsidRPr="00134754">
        <w:rPr>
          <w:rFonts w:ascii="Helvetica" w:eastAsia="Times New Roman" w:hAnsi="Helvetica" w:cs="Helvetica"/>
          <w:color w:val="444444"/>
          <w:sz w:val="18"/>
          <w:szCs w:val="18"/>
          <w:lang w:eastAsia="fr-FR"/>
        </w:rPr>
        <w:instrText xml:space="preserve"> HYPERLINK "mailto:?subject=La+r%C3%A9vision+du+loyer&amp;body=http%3A%2F%2Fwww.dgae.gov.pf%2Farticle166-la-revision-du-loyer%2F" </w:instrText>
      </w:r>
      <w:r w:rsidR="00134754" w:rsidRPr="00134754">
        <w:rPr>
          <w:rFonts w:ascii="Helvetica" w:eastAsia="Times New Roman" w:hAnsi="Helvetica" w:cs="Helvetica"/>
          <w:color w:val="444444"/>
          <w:sz w:val="18"/>
          <w:szCs w:val="18"/>
          <w:lang w:eastAsia="fr-FR"/>
        </w:rPr>
        <w:fldChar w:fldCharType="separate"/>
      </w:r>
      <w:r w:rsidR="00134754" w:rsidRPr="00134754">
        <w:rPr>
          <w:rFonts w:ascii="Helvetica" w:eastAsia="Times New Roman" w:hAnsi="Helvetica" w:cs="Helvetica"/>
          <w:b/>
          <w:bCs/>
          <w:caps/>
          <w:color w:val="FFFFFF"/>
          <w:sz w:val="17"/>
          <w:szCs w:val="17"/>
          <w:bdr w:val="none" w:sz="0" w:space="0" w:color="auto" w:frame="1"/>
          <w:lang w:eastAsia="fr-FR"/>
        </w:rPr>
        <w:t>MA</w:t>
      </w:r>
      <w:hyperlink r:id="rId11" w:history="1">
        <w:r>
          <w:rPr>
            <w:rStyle w:val="Lienhypertexte"/>
          </w:rPr>
          <w:t>http://www.dgae.gov.pf/article166-la-revision-du-loyer/</w:t>
        </w:r>
      </w:hyperlink>
    </w:p>
    <w:p w:rsidR="00134754" w:rsidRPr="00134754" w:rsidRDefault="00134754" w:rsidP="005C60F2">
      <w:pPr>
        <w:spacing w:after="0" w:line="300" w:lineRule="atLeast"/>
        <w:jc w:val="both"/>
        <w:textAlignment w:val="baseline"/>
        <w:rPr>
          <w:rFonts w:ascii="Times New Roman" w:eastAsia="Times New Roman" w:hAnsi="Times New Roman" w:cs="Times New Roman"/>
          <w:sz w:val="18"/>
          <w:szCs w:val="18"/>
          <w:lang w:eastAsia="fr-FR"/>
        </w:rPr>
      </w:pPr>
      <w:r w:rsidRPr="00134754">
        <w:rPr>
          <w:rFonts w:ascii="Helvetica" w:eastAsia="Times New Roman" w:hAnsi="Helvetica" w:cs="Helvetica"/>
          <w:b/>
          <w:bCs/>
          <w:caps/>
          <w:color w:val="FFFFFF"/>
          <w:sz w:val="17"/>
          <w:szCs w:val="17"/>
          <w:bdr w:val="none" w:sz="0" w:space="0" w:color="auto" w:frame="1"/>
          <w:lang w:eastAsia="fr-FR"/>
        </w:rPr>
        <w:t>IL</w:t>
      </w:r>
      <w:r w:rsidRPr="00134754">
        <w:rPr>
          <w:rFonts w:ascii="Helvetica" w:eastAsia="Times New Roman" w:hAnsi="Helvetica" w:cs="Helvetica"/>
          <w:color w:val="444444"/>
          <w:sz w:val="18"/>
          <w:szCs w:val="18"/>
          <w:lang w:eastAsia="fr-FR"/>
        </w:rPr>
        <w:fldChar w:fldCharType="end"/>
      </w:r>
      <w:r w:rsidR="005C60F2" w:rsidRPr="00134754">
        <w:rPr>
          <w:rFonts w:ascii="Helvetica" w:eastAsia="Times New Roman" w:hAnsi="Helvetica" w:cs="Helvetica"/>
          <w:color w:val="444444"/>
          <w:sz w:val="18"/>
          <w:szCs w:val="18"/>
          <w:lang w:eastAsia="fr-FR"/>
        </w:rPr>
        <w:t xml:space="preserve"> </w:t>
      </w:r>
    </w:p>
    <w:p w:rsidR="00134754" w:rsidRPr="00134754" w:rsidRDefault="00134754" w:rsidP="005C60F2">
      <w:pPr>
        <w:shd w:val="clear" w:color="auto" w:fill="FFFFFF"/>
        <w:spacing w:beforeAutospacing="1" w:after="0" w:afterAutospacing="1" w:line="240" w:lineRule="auto"/>
        <w:ind w:left="360"/>
        <w:textAlignment w:val="baseline"/>
        <w:rPr>
          <w:rFonts w:ascii="Helvetica" w:eastAsia="Times New Roman" w:hAnsi="Helvetica" w:cs="Helvetica"/>
          <w:color w:val="444444"/>
          <w:sz w:val="18"/>
          <w:szCs w:val="18"/>
          <w:lang w:eastAsia="fr-FR"/>
        </w:rPr>
      </w:pPr>
      <w:hyperlink r:id="rId12" w:tgtFrame="_blank" w:history="1">
        <w:r w:rsidRPr="00134754">
          <w:rPr>
            <w:rFonts w:ascii="Helvetica" w:eastAsia="Times New Roman" w:hAnsi="Helvetica" w:cs="Helvetica"/>
            <w:b/>
            <w:bCs/>
            <w:caps/>
            <w:color w:val="FFFFFF"/>
            <w:sz w:val="17"/>
            <w:szCs w:val="17"/>
            <w:bdr w:val="none" w:sz="0" w:space="0" w:color="auto" w:frame="1"/>
            <w:lang w:eastAsia="fr-FR"/>
          </w:rPr>
          <w:t>LINKEDIN</w:t>
        </w:r>
      </w:hyperlink>
    </w:p>
    <w:p w:rsidR="00134754" w:rsidRPr="00134754" w:rsidRDefault="00134754" w:rsidP="005C60F2">
      <w:pPr>
        <w:shd w:val="clear" w:color="auto" w:fill="FFFFFF"/>
        <w:spacing w:beforeAutospacing="1" w:after="0" w:afterAutospacing="1" w:line="240" w:lineRule="auto"/>
        <w:ind w:left="360"/>
        <w:textAlignment w:val="baseline"/>
        <w:rPr>
          <w:rFonts w:ascii="Helvetica" w:eastAsia="Times New Roman" w:hAnsi="Helvetica" w:cs="Helvetica"/>
          <w:color w:val="444444"/>
          <w:sz w:val="18"/>
          <w:szCs w:val="18"/>
          <w:lang w:eastAsia="fr-FR"/>
        </w:rPr>
      </w:pPr>
      <w:hyperlink r:id="rId13" w:tgtFrame="_blank" w:history="1">
        <w:r w:rsidRPr="00134754">
          <w:rPr>
            <w:rFonts w:ascii="Helvetica" w:eastAsia="Times New Roman" w:hAnsi="Helvetica" w:cs="Helvetica"/>
            <w:b/>
            <w:bCs/>
            <w:caps/>
            <w:color w:val="FFFFFF"/>
            <w:sz w:val="17"/>
            <w:szCs w:val="17"/>
            <w:bdr w:val="none" w:sz="0" w:space="0" w:color="auto" w:frame="1"/>
            <w:lang w:eastAsia="fr-FR"/>
          </w:rPr>
          <w:t>TWITTER</w:t>
        </w:r>
      </w:hyperlink>
    </w:p>
    <w:p w:rsidR="00315CA1" w:rsidRDefault="00134754" w:rsidP="00134754">
      <w:hyperlink r:id="rId14" w:tgtFrame="_blank" w:history="1">
        <w:r w:rsidRPr="00134754">
          <w:rPr>
            <w:rFonts w:ascii="Helvetica" w:eastAsia="Times New Roman" w:hAnsi="Helvetica" w:cs="Helvetica"/>
            <w:b/>
            <w:bCs/>
            <w:caps/>
            <w:color w:val="50B848"/>
            <w:sz w:val="17"/>
            <w:szCs w:val="17"/>
            <w:bdr w:val="none" w:sz="0" w:space="0" w:color="auto" w:frame="1"/>
            <w:shd w:val="clear" w:color="auto" w:fill="E93F2E"/>
            <w:lang w:eastAsia="fr-FR"/>
          </w:rPr>
          <w:br/>
        </w:r>
      </w:hyperlink>
    </w:p>
    <w:sectPr w:rsidR="00315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509C"/>
    <w:multiLevelType w:val="multilevel"/>
    <w:tmpl w:val="6006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821DC0"/>
    <w:multiLevelType w:val="multilevel"/>
    <w:tmpl w:val="1970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6B60E5"/>
    <w:multiLevelType w:val="multilevel"/>
    <w:tmpl w:val="E6CE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54"/>
    <w:rsid w:val="00134754"/>
    <w:rsid w:val="00315CA1"/>
    <w:rsid w:val="005C60F2"/>
    <w:rsid w:val="00613394"/>
    <w:rsid w:val="009A78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7A0C"/>
  <w15:chartTrackingRefBased/>
  <w15:docId w15:val="{A4135243-6043-4E1C-80F3-BEEBC822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C60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838280">
      <w:bodyDiv w:val="1"/>
      <w:marLeft w:val="0"/>
      <w:marRight w:val="0"/>
      <w:marTop w:val="0"/>
      <w:marBottom w:val="0"/>
      <w:divBdr>
        <w:top w:val="none" w:sz="0" w:space="0" w:color="auto"/>
        <w:left w:val="none" w:sz="0" w:space="0" w:color="auto"/>
        <w:bottom w:val="none" w:sz="0" w:space="0" w:color="auto"/>
        <w:right w:val="none" w:sz="0" w:space="0" w:color="auto"/>
      </w:divBdr>
      <w:divsChild>
        <w:div w:id="1175992488">
          <w:marLeft w:val="0"/>
          <w:marRight w:val="0"/>
          <w:marTop w:val="0"/>
          <w:marBottom w:val="0"/>
          <w:divBdr>
            <w:top w:val="none" w:sz="0" w:space="0" w:color="auto"/>
            <w:left w:val="none" w:sz="0" w:space="0" w:color="auto"/>
            <w:bottom w:val="none" w:sz="0" w:space="0" w:color="auto"/>
            <w:right w:val="none" w:sz="0" w:space="0" w:color="auto"/>
          </w:divBdr>
        </w:div>
        <w:div w:id="282811372">
          <w:marLeft w:val="0"/>
          <w:marRight w:val="0"/>
          <w:marTop w:val="0"/>
          <w:marBottom w:val="0"/>
          <w:divBdr>
            <w:top w:val="none" w:sz="0" w:space="0" w:color="auto"/>
            <w:left w:val="none" w:sz="0" w:space="0" w:color="auto"/>
            <w:bottom w:val="none" w:sz="0" w:space="0" w:color="auto"/>
            <w:right w:val="none" w:sz="0" w:space="0" w:color="auto"/>
          </w:divBdr>
        </w:div>
        <w:div w:id="443185091">
          <w:marLeft w:val="0"/>
          <w:marRight w:val="0"/>
          <w:marTop w:val="0"/>
          <w:marBottom w:val="0"/>
          <w:divBdr>
            <w:top w:val="single" w:sz="2" w:space="15" w:color="C7C7C7"/>
            <w:left w:val="none" w:sz="0" w:space="0" w:color="auto"/>
            <w:bottom w:val="none" w:sz="0" w:space="15" w:color="auto"/>
            <w:right w:val="none" w:sz="0" w:space="0" w:color="auto"/>
          </w:divBdr>
          <w:divsChild>
            <w:div w:id="2107067741">
              <w:marLeft w:val="450"/>
              <w:marRight w:val="0"/>
              <w:marTop w:val="225"/>
              <w:marBottom w:val="0"/>
              <w:divBdr>
                <w:top w:val="none" w:sz="0" w:space="0" w:color="auto"/>
                <w:left w:val="none" w:sz="0" w:space="0" w:color="auto"/>
                <w:bottom w:val="none" w:sz="0" w:space="0" w:color="auto"/>
                <w:right w:val="none" w:sz="0" w:space="0" w:color="auto"/>
              </w:divBdr>
              <w:divsChild>
                <w:div w:id="1355841285">
                  <w:marLeft w:val="0"/>
                  <w:marRight w:val="0"/>
                  <w:marTop w:val="0"/>
                  <w:marBottom w:val="0"/>
                  <w:divBdr>
                    <w:top w:val="none" w:sz="0" w:space="0" w:color="auto"/>
                    <w:left w:val="none" w:sz="0" w:space="0" w:color="auto"/>
                    <w:bottom w:val="none" w:sz="0" w:space="0" w:color="auto"/>
                    <w:right w:val="none" w:sz="0" w:space="0" w:color="auto"/>
                  </w:divBdr>
                  <w:divsChild>
                    <w:div w:id="1055203627">
                      <w:marLeft w:val="0"/>
                      <w:marRight w:val="0"/>
                      <w:marTop w:val="0"/>
                      <w:marBottom w:val="150"/>
                      <w:divBdr>
                        <w:top w:val="single" w:sz="6" w:space="0" w:color="E0B1B1"/>
                        <w:left w:val="single" w:sz="6" w:space="0" w:color="E0B1B1"/>
                        <w:bottom w:val="single" w:sz="6" w:space="0" w:color="E0B1B1"/>
                        <w:right w:val="single" w:sz="6" w:space="0" w:color="E0B1B1"/>
                      </w:divBdr>
                      <w:divsChild>
                        <w:div w:id="1855875725">
                          <w:marLeft w:val="0"/>
                          <w:marRight w:val="0"/>
                          <w:marTop w:val="0"/>
                          <w:marBottom w:val="0"/>
                          <w:divBdr>
                            <w:top w:val="single" w:sz="6" w:space="20" w:color="FCEEEC"/>
                            <w:left w:val="single" w:sz="6" w:space="31" w:color="FCEEEC"/>
                            <w:bottom w:val="single" w:sz="6" w:space="13" w:color="FCEEEC"/>
                            <w:right w:val="single" w:sz="6" w:space="31" w:color="FCEEEC"/>
                          </w:divBdr>
                        </w:div>
                      </w:divsChild>
                    </w:div>
                    <w:div w:id="12039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2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witter.com/home?status=La+r%C3%A9vision+du+loyer%20-%20http%3A%2F%2Fwww.dgae.gov.pf%2F%3Fp%3D463" TargetMode="External"/><Relationship Id="rId3" Type="http://schemas.openxmlformats.org/officeDocument/2006/relationships/settings" Target="settings.xml"/><Relationship Id="rId7" Type="http://schemas.openxmlformats.org/officeDocument/2006/relationships/hyperlink" Target="https://i0.wp.com/www.dgae.gov.pf/wp-content/uploads/2012/05/mode-de-calcul.jpg" TargetMode="External"/><Relationship Id="rId12" Type="http://schemas.openxmlformats.org/officeDocument/2006/relationships/hyperlink" Target="http://www.linkedin.com/shareArticle?mini=true&amp;url=http%3A%2F%2Fwww.dgae.gov.pf%2Farticle166-la-revision-du-loyer%2F&amp;title=La+r%C3%A9vision+du+loy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spf.pf/" TargetMode="External"/><Relationship Id="rId11" Type="http://schemas.openxmlformats.org/officeDocument/2006/relationships/hyperlink" Target="http://www.dgae.gov.pf/article166-la-revision-du-loyer/"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lexpol.cloud.pf/LexpolAfficheTexte.php?texte=113981" TargetMode="External"/><Relationship Id="rId4" Type="http://schemas.openxmlformats.org/officeDocument/2006/relationships/webSettings" Target="webSettings.xml"/><Relationship Id="rId9" Type="http://schemas.openxmlformats.org/officeDocument/2006/relationships/hyperlink" Target="http://lexpol.cloud.pf/LexpolAfficheTexte.php?texte=384568" TargetMode="External"/><Relationship Id="rId14" Type="http://schemas.openxmlformats.org/officeDocument/2006/relationships/hyperlink" Target="https://plus.google.com/share?url=La+r%C3%A9vision+du+loyer%20-%20http%3A%2F%2Fwww.dgae.gov.pf%2Farticle166-la-revision-du-loyer%2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509</Words>
  <Characters>2805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Tahiti Immo</dc:creator>
  <cp:keywords/>
  <dc:description/>
  <cp:lastModifiedBy>Tahiti Immo</cp:lastModifiedBy>
  <cp:revision>3</cp:revision>
  <dcterms:created xsi:type="dcterms:W3CDTF">2017-09-02T02:35:00Z</dcterms:created>
  <dcterms:modified xsi:type="dcterms:W3CDTF">2017-09-02T02:47:00Z</dcterms:modified>
</cp:coreProperties>
</file>